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3755" w14:textId="7CFA94F5" w:rsidR="00346516" w:rsidRDefault="00346516" w:rsidP="00346516">
      <w:pPr>
        <w:jc w:val="center"/>
        <w:rPr>
          <w:noProof/>
          <w:lang w:eastAsia="en-AU"/>
        </w:rPr>
      </w:pPr>
      <w:r>
        <w:rPr>
          <w:noProof/>
        </w:rPr>
        <w:drawing>
          <wp:inline distT="0" distB="0" distL="0" distR="0" wp14:anchorId="11B1A74C" wp14:editId="1AC3CE37">
            <wp:extent cx="1085850" cy="73557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33" cy="75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</w:t>
      </w:r>
      <w:r>
        <w:rPr>
          <w:noProof/>
          <w:lang w:eastAsia="en-AU"/>
        </w:rPr>
        <w:drawing>
          <wp:inline distT="0" distB="0" distL="0" distR="0" wp14:anchorId="676BD4D1" wp14:editId="08386351">
            <wp:extent cx="3076575" cy="71763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438" cy="74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796D1" w14:textId="77777777" w:rsidR="00346516" w:rsidRDefault="00346516" w:rsidP="00346516">
      <w:pPr>
        <w:jc w:val="center"/>
      </w:pPr>
      <w:r>
        <w:rPr>
          <w:i/>
        </w:rPr>
        <w:t>Pemberton Community organisation of the Year 2016.</w:t>
      </w:r>
    </w:p>
    <w:p w14:paraId="4EB1F02F" w14:textId="0E0F568F" w:rsidR="00C8721F" w:rsidRPr="0043462A" w:rsidRDefault="00346516" w:rsidP="00346516">
      <w:pPr>
        <w:rPr>
          <w:i/>
        </w:rPr>
      </w:pPr>
      <w:r>
        <w:rPr>
          <w:i/>
        </w:rPr>
        <w:t xml:space="preserve">                         </w:t>
      </w:r>
      <w:hyperlink r:id="rId7" w:history="1">
        <w:r>
          <w:rPr>
            <w:rStyle w:val="Hyperlink"/>
            <w:i/>
          </w:rPr>
          <w:t>www.pembertonartsgroup.org.au</w:t>
        </w:r>
      </w:hyperlink>
      <w:r>
        <w:rPr>
          <w:i/>
        </w:rPr>
        <w:t xml:space="preserve">               pembertonartsgroup.facebook.com</w:t>
      </w:r>
    </w:p>
    <w:p w14:paraId="51A8A9A3" w14:textId="4E80ACCD" w:rsidR="00952E8E" w:rsidRDefault="00346516" w:rsidP="00346516">
      <w:pPr>
        <w:rPr>
          <w:b/>
          <w:bCs/>
          <w:iCs/>
          <w:sz w:val="28"/>
          <w:szCs w:val="28"/>
        </w:rPr>
      </w:pPr>
      <w:r w:rsidRPr="00C9395E">
        <w:rPr>
          <w:b/>
          <w:bCs/>
          <w:iCs/>
          <w:sz w:val="28"/>
          <w:szCs w:val="28"/>
        </w:rPr>
        <w:t>PAG NEWS:</w:t>
      </w:r>
    </w:p>
    <w:p w14:paraId="01BDBDA7" w14:textId="77777777" w:rsidR="00FD1C64" w:rsidRDefault="00EB4BB5" w:rsidP="00346516">
      <w:pPr>
        <w:rPr>
          <w:iCs/>
        </w:rPr>
      </w:pPr>
      <w:r>
        <w:rPr>
          <w:b/>
          <w:bCs/>
          <w:iCs/>
          <w:sz w:val="28"/>
          <w:szCs w:val="28"/>
        </w:rPr>
        <w:t>What’s on</w:t>
      </w:r>
      <w:r w:rsidR="00E16A76" w:rsidRPr="00C9395E">
        <w:rPr>
          <w:b/>
          <w:bCs/>
          <w:iCs/>
          <w:sz w:val="28"/>
          <w:szCs w:val="28"/>
        </w:rPr>
        <w:t>:</w:t>
      </w:r>
      <w:r w:rsidR="00E16A76" w:rsidRPr="00C13087">
        <w:rPr>
          <w:iCs/>
        </w:rPr>
        <w:t xml:space="preserve"> </w:t>
      </w:r>
    </w:p>
    <w:p w14:paraId="09990180" w14:textId="7FFC00F5" w:rsidR="00E16A76" w:rsidRPr="00FD1C64" w:rsidRDefault="00952E8E" w:rsidP="00346516">
      <w:pPr>
        <w:rPr>
          <w:iCs/>
        </w:rPr>
      </w:pPr>
      <w:r>
        <w:rPr>
          <w:iCs/>
          <w:sz w:val="24"/>
          <w:szCs w:val="24"/>
        </w:rPr>
        <w:t>Don’t be shy: Pop in to see Sue Fellows’ thought-provoking art</w:t>
      </w:r>
      <w:r w:rsidR="00E16A76" w:rsidRPr="00C208BA">
        <w:rPr>
          <w:iCs/>
          <w:sz w:val="24"/>
          <w:szCs w:val="24"/>
        </w:rPr>
        <w:t xml:space="preserve"> at LJ Hooker Pemberton</w:t>
      </w:r>
      <w:r w:rsidR="00C208BA" w:rsidRPr="00C208BA">
        <w:rPr>
          <w:iCs/>
          <w:sz w:val="24"/>
          <w:szCs w:val="24"/>
        </w:rPr>
        <w:t>.</w:t>
      </w:r>
      <w:r w:rsidR="00A858C1">
        <w:rPr>
          <w:iCs/>
          <w:sz w:val="24"/>
          <w:szCs w:val="24"/>
        </w:rPr>
        <w:t xml:space="preserve"> </w:t>
      </w:r>
      <w:r w:rsidR="00DE17FE">
        <w:rPr>
          <w:iCs/>
          <w:sz w:val="24"/>
          <w:szCs w:val="24"/>
        </w:rPr>
        <w:t xml:space="preserve">Two sets of 5 paintings have bee installed: a series of pears and a spiritual series – all beautifully crafted. </w:t>
      </w:r>
    </w:p>
    <w:p w14:paraId="1D71470C" w14:textId="62E80E4F" w:rsidR="00DE17FE" w:rsidRDefault="00DE17FE" w:rsidP="0034651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Sue has </w:t>
      </w:r>
      <w:r w:rsidR="00CD6D1C">
        <w:rPr>
          <w:iCs/>
          <w:sz w:val="24"/>
          <w:szCs w:val="24"/>
        </w:rPr>
        <w:t>experimented with changing the colour of the pears in her series from what we generally perceive as being ‘true’ to something quite different. See for yourselves!!</w:t>
      </w:r>
    </w:p>
    <w:p w14:paraId="1737150D" w14:textId="181F3B00" w:rsidR="00952E8E" w:rsidRDefault="00DE17FE" w:rsidP="00346516">
      <w:pPr>
        <w:rPr>
          <w:iCs/>
          <w:sz w:val="24"/>
          <w:szCs w:val="24"/>
        </w:rPr>
      </w:pPr>
      <w:r>
        <w:rPr>
          <w:noProof/>
        </w:rPr>
        <w:drawing>
          <wp:inline distT="0" distB="0" distL="0" distR="0" wp14:anchorId="62D830F0" wp14:editId="2D6EF137">
            <wp:extent cx="1790302" cy="1724025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818" cy="173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sz w:val="24"/>
          <w:szCs w:val="24"/>
        </w:rPr>
        <w:t xml:space="preserve">  </w:t>
      </w:r>
      <w:r w:rsidR="00CD6D1C">
        <w:rPr>
          <w:noProof/>
        </w:rPr>
        <w:drawing>
          <wp:inline distT="0" distB="0" distL="0" distR="0" wp14:anchorId="690CE9AD" wp14:editId="7BCA2FAF">
            <wp:extent cx="1655077" cy="172402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605" cy="173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D1C">
        <w:rPr>
          <w:iCs/>
          <w:sz w:val="24"/>
          <w:szCs w:val="24"/>
        </w:rPr>
        <w:t xml:space="preserve">  </w:t>
      </w:r>
      <w:r w:rsidR="00CD6D1C">
        <w:rPr>
          <w:noProof/>
        </w:rPr>
        <w:drawing>
          <wp:inline distT="0" distB="0" distL="0" distR="0" wp14:anchorId="1F8C41E1" wp14:editId="60005E1F">
            <wp:extent cx="1314450" cy="172287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73" cy="173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D1C">
        <w:rPr>
          <w:iCs/>
          <w:sz w:val="24"/>
          <w:szCs w:val="24"/>
        </w:rPr>
        <w:t xml:space="preserve">  </w:t>
      </w:r>
      <w:r w:rsidR="00CD6D1C">
        <w:rPr>
          <w:noProof/>
        </w:rPr>
        <w:drawing>
          <wp:inline distT="0" distB="0" distL="0" distR="0" wp14:anchorId="5C95C7C2" wp14:editId="259E52B5">
            <wp:extent cx="1295400" cy="17399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26" cy="17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731B1" w14:textId="2B6E6F2A" w:rsidR="00BB352B" w:rsidRDefault="00BB352B" w:rsidP="0034651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(</w:t>
      </w:r>
      <w:r w:rsidR="00DB70C4">
        <w:rPr>
          <w:iCs/>
          <w:sz w:val="24"/>
          <w:szCs w:val="24"/>
        </w:rPr>
        <w:t>P</w:t>
      </w:r>
      <w:r>
        <w:rPr>
          <w:iCs/>
          <w:sz w:val="24"/>
          <w:szCs w:val="24"/>
        </w:rPr>
        <w:t>hoto: E.</w:t>
      </w:r>
      <w:r w:rsidR="00DB70C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Steele)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(Photos:</w:t>
      </w:r>
      <w:r w:rsidR="00DB70C4">
        <w:rPr>
          <w:iCs/>
          <w:sz w:val="24"/>
          <w:szCs w:val="24"/>
        </w:rPr>
        <w:t xml:space="preserve"> A. Czerkasow)</w:t>
      </w:r>
    </w:p>
    <w:p w14:paraId="49A7D23E" w14:textId="6E922222" w:rsidR="00A858C1" w:rsidRDefault="00A858C1" w:rsidP="0034651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Exhibition </w:t>
      </w:r>
      <w:r w:rsidR="00952E8E">
        <w:rPr>
          <w:iCs/>
          <w:sz w:val="24"/>
          <w:szCs w:val="24"/>
        </w:rPr>
        <w:t xml:space="preserve">of Tony </w:t>
      </w:r>
      <w:proofErr w:type="spellStart"/>
      <w:r w:rsidR="00952E8E">
        <w:rPr>
          <w:iCs/>
          <w:sz w:val="24"/>
          <w:szCs w:val="24"/>
        </w:rPr>
        <w:t>Windberg’s</w:t>
      </w:r>
      <w:proofErr w:type="spellEnd"/>
      <w:r w:rsidR="00952E8E">
        <w:rPr>
          <w:iCs/>
          <w:sz w:val="24"/>
          <w:szCs w:val="24"/>
        </w:rPr>
        <w:t xml:space="preserve"> stunning works </w:t>
      </w:r>
      <w:r>
        <w:rPr>
          <w:iCs/>
          <w:sz w:val="24"/>
          <w:szCs w:val="24"/>
        </w:rPr>
        <w:t xml:space="preserve">at </w:t>
      </w:r>
      <w:r w:rsidR="00952E8E">
        <w:rPr>
          <w:iCs/>
          <w:sz w:val="24"/>
          <w:szCs w:val="24"/>
        </w:rPr>
        <w:t>the Art Collective in Perth.</w:t>
      </w:r>
    </w:p>
    <w:p w14:paraId="4D13F05C" w14:textId="795E7F44" w:rsidR="00DB70C4" w:rsidRDefault="00BB352B" w:rsidP="00DB70C4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</w:t>
      </w:r>
      <w:r w:rsidR="00DB70C4">
        <w:rPr>
          <w:iCs/>
          <w:sz w:val="24"/>
          <w:szCs w:val="24"/>
        </w:rPr>
        <w:t xml:space="preserve">      </w:t>
      </w:r>
      <w:r>
        <w:rPr>
          <w:iCs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B6B0D3E" wp14:editId="1DD95C9F">
            <wp:extent cx="3111493" cy="19621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70" cy="200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0C4">
        <w:rPr>
          <w:iCs/>
          <w:sz w:val="24"/>
          <w:szCs w:val="24"/>
        </w:rPr>
        <w:t xml:space="preserve">    (Photo: T Windberg)</w:t>
      </w:r>
    </w:p>
    <w:p w14:paraId="61D9561F" w14:textId="394547D8" w:rsidR="00DB70C4" w:rsidRPr="00DB70C4" w:rsidRDefault="00295F02" w:rsidP="00DB70C4">
      <w:pPr>
        <w:spacing w:before="100" w:beforeAutospacing="1" w:after="100" w:afterAutospacing="1"/>
      </w:pPr>
      <w:hyperlink r:id="rId13" w:history="1">
        <w:r w:rsidR="00DB70C4" w:rsidRPr="00183DD3">
          <w:rPr>
            <w:rStyle w:val="Hyperlink"/>
            <w:rFonts w:ascii="Calibri" w:hAnsi="Calibri" w:cs="Calibri"/>
          </w:rPr>
          <w:t>https://artcollectivewa.com.au/artists/tony-windberg/</w:t>
        </w:r>
      </w:hyperlink>
    </w:p>
    <w:p w14:paraId="58BCF8D5" w14:textId="3DA8C048" w:rsidR="00952E8E" w:rsidRPr="0043462A" w:rsidRDefault="00EB4BB5" w:rsidP="00A9034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Manjimup Gallery – ‘Friends Old and New’ – </w:t>
      </w:r>
      <w:r w:rsidR="00DB70C4">
        <w:rPr>
          <w:iCs/>
          <w:sz w:val="24"/>
          <w:szCs w:val="24"/>
        </w:rPr>
        <w:t>ends June 19</w:t>
      </w:r>
      <w:r w:rsidR="00DB70C4" w:rsidRPr="00DB70C4">
        <w:rPr>
          <w:iCs/>
          <w:sz w:val="24"/>
          <w:szCs w:val="24"/>
          <w:vertAlign w:val="superscript"/>
        </w:rPr>
        <w:t>th</w:t>
      </w:r>
      <w:r w:rsidR="00DB70C4">
        <w:rPr>
          <w:iCs/>
          <w:sz w:val="24"/>
          <w:szCs w:val="24"/>
        </w:rPr>
        <w:t>.</w:t>
      </w:r>
    </w:p>
    <w:p w14:paraId="3565389A" w14:textId="28A092F0" w:rsidR="00811C1E" w:rsidRDefault="009A00FF" w:rsidP="00DF6EFE">
      <w:r w:rsidRPr="00C9395E">
        <w:rPr>
          <w:b/>
          <w:bCs/>
          <w:iCs/>
          <w:sz w:val="28"/>
          <w:szCs w:val="28"/>
        </w:rPr>
        <w:t>Art Sessions</w:t>
      </w:r>
      <w:r w:rsidRPr="00C8721F">
        <w:rPr>
          <w:iCs/>
          <w:sz w:val="28"/>
          <w:szCs w:val="28"/>
        </w:rPr>
        <w:t>:</w:t>
      </w:r>
      <w:r w:rsidRPr="00C8721F">
        <w:rPr>
          <w:iCs/>
        </w:rPr>
        <w:t xml:space="preserve"> </w:t>
      </w:r>
      <w:r w:rsidR="00952E8E">
        <w:rPr>
          <w:iCs/>
        </w:rPr>
        <w:t>Changing the time for winter</w:t>
      </w:r>
      <w:r w:rsidR="00C8721F" w:rsidRPr="00C8721F">
        <w:rPr>
          <w:iCs/>
        </w:rPr>
        <w:t xml:space="preserve"> </w:t>
      </w:r>
      <w:r w:rsidR="00952E8E">
        <w:rPr>
          <w:iCs/>
        </w:rPr>
        <w:t xml:space="preserve">sessions </w:t>
      </w:r>
      <w:r w:rsidR="00C8721F" w:rsidRPr="00C8721F">
        <w:rPr>
          <w:iCs/>
        </w:rPr>
        <w:t>on</w:t>
      </w:r>
      <w:r w:rsidR="00C8721F">
        <w:rPr>
          <w:b/>
          <w:bCs/>
          <w:iCs/>
        </w:rPr>
        <w:t xml:space="preserve"> </w:t>
      </w:r>
      <w:r w:rsidRPr="00C13087">
        <w:rPr>
          <w:iCs/>
        </w:rPr>
        <w:t xml:space="preserve">Wednesdays </w:t>
      </w:r>
      <w:r w:rsidR="00952E8E">
        <w:rPr>
          <w:iCs/>
        </w:rPr>
        <w:t xml:space="preserve">to a 10am start. No sessions during </w:t>
      </w:r>
      <w:r w:rsidR="00672770">
        <w:rPr>
          <w:iCs/>
        </w:rPr>
        <w:t>school holidays.</w:t>
      </w:r>
      <w:r w:rsidRPr="00C13087">
        <w:rPr>
          <w:iCs/>
        </w:rPr>
        <w:t xml:space="preserve">  Bring your own project or try something new.</w:t>
      </w:r>
      <w:r w:rsidR="00581548">
        <w:rPr>
          <w:iCs/>
        </w:rPr>
        <w:t xml:space="preserve"> </w:t>
      </w:r>
      <w:r w:rsidR="00C8721F">
        <w:rPr>
          <w:iCs/>
        </w:rPr>
        <w:t>We have a great collection of resource art books – thanks to generous donors.</w:t>
      </w:r>
      <w:r w:rsidR="008F646B">
        <w:rPr>
          <w:iCs/>
        </w:rPr>
        <w:t xml:space="preserve"> Call first to make sure we haven’t changed our plans.</w:t>
      </w:r>
      <w:r w:rsidR="00A410D2" w:rsidRPr="00C13087">
        <w:tab/>
      </w:r>
    </w:p>
    <w:p w14:paraId="6B324A6D" w14:textId="77777777" w:rsidR="00945E54" w:rsidRPr="00945E54" w:rsidRDefault="00945E54" w:rsidP="00945E54">
      <w:pPr>
        <w:rPr>
          <w:rFonts w:cstheme="minorHAnsi"/>
          <w:b/>
          <w:bCs/>
          <w:sz w:val="28"/>
          <w:szCs w:val="28"/>
        </w:rPr>
      </w:pPr>
      <w:r w:rsidRPr="00945E54">
        <w:rPr>
          <w:rFonts w:cstheme="minorHAnsi"/>
          <w:b/>
          <w:bCs/>
          <w:sz w:val="28"/>
          <w:szCs w:val="28"/>
        </w:rPr>
        <w:lastRenderedPageBreak/>
        <w:t>The Bigger Picture: The Alternative Archive Exhibition</w:t>
      </w:r>
    </w:p>
    <w:p w14:paraId="63945C25" w14:textId="77777777" w:rsidR="00945E54" w:rsidRPr="00945E54" w:rsidRDefault="00945E54" w:rsidP="00945E54">
      <w:pPr>
        <w:rPr>
          <w:rFonts w:cstheme="minorHAnsi"/>
        </w:rPr>
      </w:pPr>
      <w:r w:rsidRPr="00945E54">
        <w:rPr>
          <w:rFonts w:cstheme="minorHAnsi"/>
          <w:i/>
          <w:iCs/>
        </w:rPr>
        <w:t>The Alternative Archive</w:t>
      </w:r>
      <w:r w:rsidRPr="00945E54">
        <w:rPr>
          <w:rFonts w:cstheme="minorHAnsi"/>
        </w:rPr>
        <w:t> is part of a larger Regional Arts Partnership Program linking regional artists and fostering arts development across the state. A</w:t>
      </w:r>
      <w:r w:rsidRPr="00945E54">
        <w:rPr>
          <w:rFonts w:cstheme="minorHAnsi"/>
          <w:bCs/>
        </w:rPr>
        <w:t>rtists in 14 communities throughout regional WA staged their own exhibition resulting in a series of individual yet interconnected displays</w:t>
      </w:r>
      <w:r w:rsidRPr="00945E54">
        <w:rPr>
          <w:rFonts w:cstheme="minorHAnsi"/>
        </w:rPr>
        <w:t>.</w:t>
      </w:r>
    </w:p>
    <w:p w14:paraId="0442C29B" w14:textId="77777777" w:rsidR="004404B6" w:rsidRDefault="004404B6" w:rsidP="004404B6">
      <w:r>
        <w:t xml:space="preserve">The Alternative Archive: Nectere (Latin for tie or bind) – exploring how we personally connect to place. </w:t>
      </w:r>
    </w:p>
    <w:p w14:paraId="6EF691C2" w14:textId="12C59B09" w:rsidR="004404B6" w:rsidRPr="004404B6" w:rsidRDefault="00945E54" w:rsidP="00945E54">
      <w:pPr>
        <w:rPr>
          <w:rFonts w:ascii="Arial" w:hAnsi="Arial" w:cs="Arial"/>
        </w:rPr>
      </w:pPr>
      <w:r>
        <w:rPr>
          <w:sz w:val="24"/>
          <w:szCs w:val="24"/>
        </w:rPr>
        <w:t xml:space="preserve">In the Manjimup Shire: </w:t>
      </w:r>
      <w:r w:rsidR="004404B6">
        <w:t xml:space="preserve">Fay Dunstan and I (Anna Czerkasow) culminated our curating menteeship </w:t>
      </w:r>
      <w:r>
        <w:t xml:space="preserve">in June 2019 </w:t>
      </w:r>
      <w:r w:rsidR="004404B6">
        <w:t>with an exhibition of diverse works created by 39 artists from the Manjimup region. Corrina Barclay, our official photographer, was mentored by Brad Hanrahan to record the project.</w:t>
      </w:r>
      <w:r>
        <w:t xml:space="preserve"> </w:t>
      </w:r>
      <w:r w:rsidR="0053617D">
        <w:t>From this exhibition, works by Claudette Mountjoy, Lizzie Troup and Louise Tasker were selected to be part of the Alternative Archive Exhibition currently showing at John Curtin Gallery.</w:t>
      </w:r>
    </w:p>
    <w:p w14:paraId="115D20E5" w14:textId="41D96A35" w:rsidR="00945E54" w:rsidRDefault="00945E54" w:rsidP="00945E54">
      <w:pPr>
        <w:rPr>
          <w:lang w:val="en-US"/>
        </w:rPr>
      </w:pPr>
      <w:r>
        <w:t xml:space="preserve">Co-curated by Chris Malcolm (Director, John Curtin Gallery) and Anna Louise Richardson (Independent curator/artist), the exhibition is the culmination of an ambitious </w:t>
      </w:r>
      <w:proofErr w:type="gramStart"/>
      <w:r>
        <w:t>three year</w:t>
      </w:r>
      <w:proofErr w:type="gramEnd"/>
      <w:r>
        <w:t xml:space="preserve"> project to present a series of </w:t>
      </w:r>
      <w:r>
        <w:rPr>
          <w:lang w:val="en-US"/>
        </w:rPr>
        <w:t xml:space="preserve">regional exhibitions, bearing the </w:t>
      </w:r>
      <w:r>
        <w:rPr>
          <w:i/>
          <w:lang w:val="en-US"/>
        </w:rPr>
        <w:t xml:space="preserve">Alternative Archive </w:t>
      </w:r>
      <w:r>
        <w:rPr>
          <w:lang w:val="en-US"/>
        </w:rPr>
        <w:t xml:space="preserve">name, which were held between February and October 2019. </w:t>
      </w:r>
      <w:r>
        <w:rPr>
          <w:i/>
          <w:lang w:eastAsia="en-GB"/>
        </w:rPr>
        <w:t xml:space="preserve">The </w:t>
      </w:r>
      <w:r>
        <w:rPr>
          <w:i/>
          <w:iCs/>
          <w:lang w:eastAsia="en-GB"/>
        </w:rPr>
        <w:t>Alternative Archive</w:t>
      </w:r>
      <w:r>
        <w:rPr>
          <w:lang w:eastAsia="en-GB"/>
        </w:rPr>
        <w:t xml:space="preserve"> series encompassed 13 venues, 26 curators and 206 artists from </w:t>
      </w:r>
      <w:r>
        <w:rPr>
          <w:lang w:val="en-US"/>
        </w:rPr>
        <w:t>as far away as Kununurra and Esperance.</w:t>
      </w:r>
    </w:p>
    <w:p w14:paraId="6166033B" w14:textId="77777777" w:rsidR="0053617D" w:rsidRDefault="0053617D" w:rsidP="0053617D">
      <w:p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i/>
          <w:iCs/>
        </w:rPr>
        <w:t xml:space="preserve">The Alternative Archive </w:t>
      </w:r>
      <w:r>
        <w:t xml:space="preserve">was originally developed through </w:t>
      </w:r>
      <w:r>
        <w:rPr>
          <w:i/>
          <w:iCs/>
        </w:rPr>
        <w:t>Connect to the Creative Grid</w:t>
      </w:r>
      <w:r>
        <w:t xml:space="preserve">, an initiative of the </w:t>
      </w:r>
      <w:r>
        <w:rPr>
          <w:rFonts w:ascii="Calibri Light" w:hAnsi="Calibri Light" w:cs="Calibri Light"/>
        </w:rPr>
        <w:t>Regional Arts Partnership Program supported by the State Government of WA and Country Arts WA with additional funding support from the Australian Government through the Regional Arts Fund.</w:t>
      </w:r>
    </w:p>
    <w:p w14:paraId="4CCC4719" w14:textId="7CA0FADB" w:rsidR="0053617D" w:rsidRPr="00074FB8" w:rsidRDefault="0053617D" w:rsidP="00945E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Take a bow Fiona Sinclair-Hill for your role in this ambitious, inspirational and innovative project!! </w:t>
      </w:r>
      <w:r w:rsidR="00362F86">
        <w:rPr>
          <w:rFonts w:ascii="Arial" w:hAnsi="Arial" w:cs="Arial"/>
        </w:rPr>
        <w:t xml:space="preserve">Our region benefits greatly from having </w:t>
      </w:r>
      <w:r w:rsidR="00FD1C64">
        <w:rPr>
          <w:rFonts w:ascii="Arial" w:hAnsi="Arial" w:cs="Arial"/>
        </w:rPr>
        <w:t xml:space="preserve">your </w:t>
      </w:r>
      <w:r w:rsidR="00362F86">
        <w:rPr>
          <w:rFonts w:ascii="Arial" w:hAnsi="Arial" w:cs="Arial"/>
        </w:rPr>
        <w:t>advocacy and representation in WA’s arts sector.</w:t>
      </w:r>
    </w:p>
    <w:p w14:paraId="20525394" w14:textId="6820200D" w:rsidR="00945E54" w:rsidRDefault="00945E54" w:rsidP="00DF6E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Exhibition and Symposium Highlights:</w:t>
      </w:r>
    </w:p>
    <w:p w14:paraId="5AFA61F1" w14:textId="2C16CF7F" w:rsidR="00945E54" w:rsidRDefault="007F5B13" w:rsidP="00DF6EFE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222FF7A" wp14:editId="62F820FD">
            <wp:extent cx="1937886" cy="1085215"/>
            <wp:effectExtent l="0" t="0" r="571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03" cy="110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</w:t>
      </w:r>
      <w:r w:rsidR="00362F86">
        <w:rPr>
          <w:noProof/>
        </w:rPr>
        <w:drawing>
          <wp:inline distT="0" distB="0" distL="0" distR="0" wp14:anchorId="4D08412B" wp14:editId="04E7CC91">
            <wp:extent cx="1622068" cy="11104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638" cy="113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F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362F86">
        <w:rPr>
          <w:b/>
          <w:bCs/>
          <w:sz w:val="28"/>
          <w:szCs w:val="28"/>
        </w:rPr>
        <w:t xml:space="preserve"> </w:t>
      </w:r>
      <w:r w:rsidR="00F41CF3">
        <w:rPr>
          <w:noProof/>
        </w:rPr>
        <w:drawing>
          <wp:inline distT="0" distB="0" distL="0" distR="0" wp14:anchorId="6B4C9F47" wp14:editId="272BDDD9">
            <wp:extent cx="1543050" cy="1157361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77295" cy="118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CF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D3FE140" wp14:editId="7DC137FE">
            <wp:extent cx="990600" cy="11675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32" cy="119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</w:t>
      </w:r>
    </w:p>
    <w:p w14:paraId="0BD63EC7" w14:textId="26646AFF" w:rsidR="007F5B13" w:rsidRPr="00F95064" w:rsidRDefault="007F5B13" w:rsidP="00DF6EFE">
      <w:pPr>
        <w:rPr>
          <w:sz w:val="18"/>
          <w:szCs w:val="18"/>
        </w:rPr>
      </w:pPr>
      <w:r>
        <w:rPr>
          <w:sz w:val="18"/>
          <w:szCs w:val="18"/>
        </w:rPr>
        <w:t>Alternative Archive Curators</w:t>
      </w:r>
      <w:proofErr w:type="gramStart"/>
      <w:r w:rsidR="00F95064">
        <w:rPr>
          <w:sz w:val="18"/>
          <w:szCs w:val="18"/>
        </w:rPr>
        <w:t xml:space="preserve">   </w:t>
      </w:r>
      <w:r w:rsidR="00F95064" w:rsidRPr="00F95064">
        <w:rPr>
          <w:sz w:val="16"/>
          <w:szCs w:val="16"/>
        </w:rPr>
        <w:t>(</w:t>
      </w:r>
      <w:proofErr w:type="gramEnd"/>
      <w:r w:rsidR="00F95064" w:rsidRPr="00F95064">
        <w:rPr>
          <w:sz w:val="16"/>
          <w:szCs w:val="16"/>
        </w:rPr>
        <w:t xml:space="preserve"> </w:t>
      </w:r>
      <w:r w:rsidRPr="00F95064">
        <w:rPr>
          <w:sz w:val="16"/>
          <w:szCs w:val="16"/>
        </w:rPr>
        <w:t>Photos</w:t>
      </w:r>
      <w:r w:rsidR="00F95064" w:rsidRPr="00F95064">
        <w:rPr>
          <w:sz w:val="16"/>
          <w:szCs w:val="16"/>
        </w:rPr>
        <w:t xml:space="preserve"> J Bowron)</w:t>
      </w:r>
      <w:r w:rsidR="00F95064">
        <w:rPr>
          <w:sz w:val="18"/>
          <w:szCs w:val="18"/>
        </w:rPr>
        <w:t xml:space="preserve">  Hon D Templeman</w:t>
      </w:r>
      <w:r w:rsidR="00F95064">
        <w:rPr>
          <w:sz w:val="18"/>
          <w:szCs w:val="18"/>
        </w:rPr>
        <w:tab/>
      </w:r>
      <w:r w:rsidR="00F95064">
        <w:rPr>
          <w:sz w:val="18"/>
          <w:szCs w:val="18"/>
        </w:rPr>
        <w:tab/>
        <w:t xml:space="preserve">       Fiona &amp; Anna-Louise </w:t>
      </w:r>
      <w:r w:rsidR="00F95064" w:rsidRPr="00F95064">
        <w:rPr>
          <w:sz w:val="16"/>
          <w:szCs w:val="16"/>
        </w:rPr>
        <w:t>(Photos A Czerkasow)</w:t>
      </w:r>
      <w:r w:rsidR="00F95064">
        <w:rPr>
          <w:sz w:val="18"/>
          <w:szCs w:val="18"/>
        </w:rPr>
        <w:t xml:space="preserve"> Claudette</w:t>
      </w:r>
      <w:r>
        <w:rPr>
          <w:b/>
          <w:bCs/>
          <w:sz w:val="28"/>
          <w:szCs w:val="28"/>
        </w:rPr>
        <w:t xml:space="preserve">   </w:t>
      </w:r>
    </w:p>
    <w:p w14:paraId="47F0F1BB" w14:textId="1690C885" w:rsidR="003E3D7E" w:rsidRDefault="003E3D7E" w:rsidP="003E3D7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lang w:val="en-US"/>
        </w:rPr>
      </w:pPr>
      <w:r>
        <w:rPr>
          <w:b/>
          <w:bCs/>
          <w:sz w:val="28"/>
          <w:szCs w:val="28"/>
        </w:rPr>
        <w:t xml:space="preserve">John Curtin Gallery  </w:t>
      </w:r>
    </w:p>
    <w:p w14:paraId="01767565" w14:textId="77777777" w:rsidR="003E3D7E" w:rsidRDefault="003E3D7E" w:rsidP="003E3D7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Curtin University, Perth, Australia</w:t>
      </w:r>
    </w:p>
    <w:p w14:paraId="38824ABB" w14:textId="77777777" w:rsidR="003E3D7E" w:rsidRDefault="003E3D7E" w:rsidP="003E3D7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i/>
          <w:lang w:val="en-US"/>
        </w:rPr>
      </w:pPr>
      <w:r>
        <w:rPr>
          <w:rFonts w:asciiTheme="majorHAnsi" w:hAnsiTheme="majorHAnsi" w:cstheme="majorHAnsi"/>
          <w:i/>
          <w:lang w:val="en-US"/>
        </w:rPr>
        <w:t>jcg.curtin.edu.au</w:t>
      </w:r>
      <w:r>
        <w:rPr>
          <w:rFonts w:asciiTheme="majorHAnsi" w:hAnsiTheme="majorHAnsi" w:cstheme="majorHAnsi"/>
          <w:i/>
          <w:lang w:val="en-US"/>
        </w:rPr>
        <w:br/>
      </w:r>
    </w:p>
    <w:p w14:paraId="7979B3C2" w14:textId="77777777" w:rsidR="003E3D7E" w:rsidRDefault="003E3D7E" w:rsidP="003E3D7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i/>
          <w:lang w:val="en-US"/>
        </w:rPr>
      </w:pPr>
      <w:r>
        <w:rPr>
          <w:rFonts w:asciiTheme="majorHAnsi" w:hAnsiTheme="majorHAnsi" w:cstheme="majorHAnsi"/>
          <w:i/>
          <w:lang w:val="en-US"/>
        </w:rPr>
        <w:t xml:space="preserve">Gallery opening hours: </w:t>
      </w:r>
    </w:p>
    <w:p w14:paraId="4CF21E40" w14:textId="77777777" w:rsidR="003E3D7E" w:rsidRDefault="003E3D7E" w:rsidP="003E3D7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color w:val="000000"/>
        </w:rPr>
        <w:t>Mon to Fri: 11am - 5pm</w:t>
      </w:r>
      <w:r>
        <w:rPr>
          <w:rFonts w:asciiTheme="majorHAnsi" w:hAnsiTheme="majorHAnsi" w:cstheme="majorHAnsi"/>
          <w:color w:val="000000"/>
        </w:rPr>
        <w:br/>
        <w:t>Sun: 12 - 4pm</w:t>
      </w:r>
    </w:p>
    <w:p w14:paraId="7F7F51FE" w14:textId="77777777" w:rsidR="003E3D7E" w:rsidRDefault="003E3D7E" w:rsidP="003E3D7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i/>
          <w:lang w:val="en-US"/>
        </w:rPr>
      </w:pPr>
      <w:r>
        <w:rPr>
          <w:rFonts w:asciiTheme="majorHAnsi" w:hAnsiTheme="majorHAnsi" w:cstheme="majorHAnsi"/>
          <w:i/>
          <w:lang w:val="en-US"/>
        </w:rPr>
        <w:t>Exhibition open to the public from Friday 14 May – Friday 30 July</w:t>
      </w:r>
    </w:p>
    <w:p w14:paraId="51625B23" w14:textId="77777777" w:rsidR="00DB70C4" w:rsidRDefault="00DB70C4" w:rsidP="00DF6EFE"/>
    <w:p w14:paraId="44A39B8E" w14:textId="2BF42CAB" w:rsidR="006B7AB7" w:rsidRPr="009613B3" w:rsidRDefault="00811C1E" w:rsidP="00DF6EFE">
      <w:r>
        <w:t xml:space="preserve">Contact Anna: </w:t>
      </w:r>
      <w:hyperlink r:id="rId18" w:history="1">
        <w:r w:rsidRPr="0034482D">
          <w:rPr>
            <w:rStyle w:val="Hyperlink"/>
          </w:rPr>
          <w:t>czerkasow@antmail.com.au</w:t>
        </w:r>
      </w:hyperlink>
      <w:r>
        <w:t xml:space="preserve">        0439 369 702</w:t>
      </w:r>
    </w:p>
    <w:sectPr w:rsidR="006B7AB7" w:rsidRPr="009613B3" w:rsidSect="00903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000"/>
    <w:multiLevelType w:val="hybridMultilevel"/>
    <w:tmpl w:val="C2B2D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1174"/>
    <w:multiLevelType w:val="hybridMultilevel"/>
    <w:tmpl w:val="9D58D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4BD8"/>
    <w:multiLevelType w:val="hybridMultilevel"/>
    <w:tmpl w:val="CD70C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7D8E"/>
    <w:multiLevelType w:val="hybridMultilevel"/>
    <w:tmpl w:val="0EB214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7381D"/>
    <w:multiLevelType w:val="hybridMultilevel"/>
    <w:tmpl w:val="FD9A9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20949"/>
    <w:multiLevelType w:val="hybridMultilevel"/>
    <w:tmpl w:val="54A6E2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D38A9"/>
    <w:multiLevelType w:val="hybridMultilevel"/>
    <w:tmpl w:val="C4D49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82013"/>
    <w:multiLevelType w:val="hybridMultilevel"/>
    <w:tmpl w:val="6F50B8E4"/>
    <w:lvl w:ilvl="0" w:tplc="9F12F2CA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5F44C6"/>
    <w:multiLevelType w:val="hybridMultilevel"/>
    <w:tmpl w:val="5024D1D2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00E06"/>
    <w:multiLevelType w:val="hybridMultilevel"/>
    <w:tmpl w:val="0E02D7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2115A"/>
    <w:multiLevelType w:val="hybridMultilevel"/>
    <w:tmpl w:val="AA143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36ACB"/>
    <w:multiLevelType w:val="hybridMultilevel"/>
    <w:tmpl w:val="CC4C0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974A1"/>
    <w:multiLevelType w:val="hybridMultilevel"/>
    <w:tmpl w:val="15C0D2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6E3A42"/>
    <w:multiLevelType w:val="hybridMultilevel"/>
    <w:tmpl w:val="5322D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13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16"/>
    <w:rsid w:val="00025DCB"/>
    <w:rsid w:val="00051366"/>
    <w:rsid w:val="00071C2C"/>
    <w:rsid w:val="00074FB8"/>
    <w:rsid w:val="000A2446"/>
    <w:rsid w:val="00101E18"/>
    <w:rsid w:val="00102F58"/>
    <w:rsid w:val="001054F3"/>
    <w:rsid w:val="00153AC8"/>
    <w:rsid w:val="001C5CF5"/>
    <w:rsid w:val="001D26AA"/>
    <w:rsid w:val="00252229"/>
    <w:rsid w:val="00261ACD"/>
    <w:rsid w:val="00295F02"/>
    <w:rsid w:val="002B57D8"/>
    <w:rsid w:val="002F37F1"/>
    <w:rsid w:val="002F63A4"/>
    <w:rsid w:val="00322DD2"/>
    <w:rsid w:val="00346516"/>
    <w:rsid w:val="00362F86"/>
    <w:rsid w:val="00377DE7"/>
    <w:rsid w:val="003B04DA"/>
    <w:rsid w:val="003B33C6"/>
    <w:rsid w:val="003E3D7E"/>
    <w:rsid w:val="0043462A"/>
    <w:rsid w:val="004404B6"/>
    <w:rsid w:val="0046221B"/>
    <w:rsid w:val="004641D8"/>
    <w:rsid w:val="004859AD"/>
    <w:rsid w:val="004B7A75"/>
    <w:rsid w:val="004F475E"/>
    <w:rsid w:val="005112E6"/>
    <w:rsid w:val="00523E5E"/>
    <w:rsid w:val="0053617D"/>
    <w:rsid w:val="005367CD"/>
    <w:rsid w:val="00541116"/>
    <w:rsid w:val="00581548"/>
    <w:rsid w:val="006029F7"/>
    <w:rsid w:val="00611407"/>
    <w:rsid w:val="00622CFC"/>
    <w:rsid w:val="006346DC"/>
    <w:rsid w:val="00672770"/>
    <w:rsid w:val="006B121B"/>
    <w:rsid w:val="006B7AB7"/>
    <w:rsid w:val="006D6C69"/>
    <w:rsid w:val="006E3C62"/>
    <w:rsid w:val="00766875"/>
    <w:rsid w:val="00775030"/>
    <w:rsid w:val="007B20C9"/>
    <w:rsid w:val="007B3FDF"/>
    <w:rsid w:val="007C1F88"/>
    <w:rsid w:val="007E4E79"/>
    <w:rsid w:val="007F5B13"/>
    <w:rsid w:val="00811C1E"/>
    <w:rsid w:val="0082136A"/>
    <w:rsid w:val="00860572"/>
    <w:rsid w:val="008B68BB"/>
    <w:rsid w:val="008C498D"/>
    <w:rsid w:val="008F646B"/>
    <w:rsid w:val="00903099"/>
    <w:rsid w:val="009354C7"/>
    <w:rsid w:val="00945E54"/>
    <w:rsid w:val="00952E8E"/>
    <w:rsid w:val="009613B3"/>
    <w:rsid w:val="0098529A"/>
    <w:rsid w:val="009A00FF"/>
    <w:rsid w:val="009A795F"/>
    <w:rsid w:val="009F1553"/>
    <w:rsid w:val="00A37668"/>
    <w:rsid w:val="00A410D2"/>
    <w:rsid w:val="00A4724E"/>
    <w:rsid w:val="00A858C1"/>
    <w:rsid w:val="00A9034C"/>
    <w:rsid w:val="00AC7B91"/>
    <w:rsid w:val="00B46366"/>
    <w:rsid w:val="00B63926"/>
    <w:rsid w:val="00B82988"/>
    <w:rsid w:val="00BA2F54"/>
    <w:rsid w:val="00BB352B"/>
    <w:rsid w:val="00BC0654"/>
    <w:rsid w:val="00C039AF"/>
    <w:rsid w:val="00C13087"/>
    <w:rsid w:val="00C208BA"/>
    <w:rsid w:val="00C31AF9"/>
    <w:rsid w:val="00C8721F"/>
    <w:rsid w:val="00C9395E"/>
    <w:rsid w:val="00C963FF"/>
    <w:rsid w:val="00CD6D1C"/>
    <w:rsid w:val="00D21A91"/>
    <w:rsid w:val="00D227A8"/>
    <w:rsid w:val="00D313A6"/>
    <w:rsid w:val="00D53B3D"/>
    <w:rsid w:val="00D64920"/>
    <w:rsid w:val="00D86C4A"/>
    <w:rsid w:val="00DB70C4"/>
    <w:rsid w:val="00DE17FE"/>
    <w:rsid w:val="00DE261C"/>
    <w:rsid w:val="00DF6EFE"/>
    <w:rsid w:val="00E16A76"/>
    <w:rsid w:val="00E23799"/>
    <w:rsid w:val="00E629CC"/>
    <w:rsid w:val="00EB4BB5"/>
    <w:rsid w:val="00ED5CA8"/>
    <w:rsid w:val="00F324CD"/>
    <w:rsid w:val="00F41CF3"/>
    <w:rsid w:val="00F5742A"/>
    <w:rsid w:val="00F95064"/>
    <w:rsid w:val="00F964AD"/>
    <w:rsid w:val="00FA2928"/>
    <w:rsid w:val="00FC0341"/>
    <w:rsid w:val="00FC401B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BD72"/>
  <w15:chartTrackingRefBased/>
  <w15:docId w15:val="{76A07CAD-5A3E-41F3-9BFA-3076BC13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5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0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24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6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A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rtcollectivewa.com.au/artists/tony-windberg/" TargetMode="External"/><Relationship Id="rId18" Type="http://schemas.openxmlformats.org/officeDocument/2006/relationships/hyperlink" Target="mailto:czerkasow@antmail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ertonartsgroup.org.au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NOLAN</dc:creator>
  <cp:keywords/>
  <dc:description/>
  <cp:lastModifiedBy>PAUL NOLAN</cp:lastModifiedBy>
  <cp:revision>2</cp:revision>
  <dcterms:created xsi:type="dcterms:W3CDTF">2021-05-27T03:11:00Z</dcterms:created>
  <dcterms:modified xsi:type="dcterms:W3CDTF">2021-05-27T03:11:00Z</dcterms:modified>
</cp:coreProperties>
</file>